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KOPPERS HOLDINGS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20" w:type="dxa"/>
            <w:vAlign w:val="bottom"/>
          </w:tcPr>
          <w:p>
            <w:pPr>
              <w:jc w:val="center"/>
              <w:ind w:right="1879"/>
              <w:spacing w:after="0"/>
              <w:rPr>
                <w:sz w:val="20"/>
                <w:szCs w:val="20"/>
                <w:color w:val="auto"/>
              </w:rPr>
            </w:pPr>
            <w:r>
              <w:rPr>
                <w:rFonts w:ascii="Arial" w:cs="Arial" w:eastAsia="Arial" w:hAnsi="Arial"/>
                <w:sz w:val="18"/>
                <w:szCs w:val="18"/>
                <w:b w:val="1"/>
                <w:bCs w:val="1"/>
                <w:color w:val="auto"/>
                <w:w w:val="88"/>
              </w:rPr>
              <w:t>Pennsylvania</w:t>
            </w:r>
          </w:p>
        </w:tc>
        <w:tc>
          <w:tcPr>
            <w:tcW w:w="2540" w:type="dxa"/>
            <w:vAlign w:val="bottom"/>
          </w:tcPr>
          <w:p>
            <w:pPr>
              <w:jc w:val="center"/>
              <w:ind w:right="262"/>
              <w:spacing w:after="0"/>
              <w:rPr>
                <w:sz w:val="20"/>
                <w:szCs w:val="20"/>
                <w:color w:val="auto"/>
              </w:rPr>
            </w:pPr>
            <w:r>
              <w:rPr>
                <w:rFonts w:ascii="Arial" w:cs="Arial" w:eastAsia="Arial" w:hAnsi="Arial"/>
                <w:sz w:val="18"/>
                <w:szCs w:val="18"/>
                <w:b w:val="1"/>
                <w:bCs w:val="1"/>
                <w:color w:val="auto"/>
                <w:w w:val="90"/>
              </w:rPr>
              <w:t>1-32737</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20-1878963</w:t>
            </w:r>
          </w:p>
        </w:tc>
      </w:tr>
      <w:tr>
        <w:trPr>
          <w:trHeight w:val="149"/>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4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540" w:type="dxa"/>
            <w:vAlign w:val="bottom"/>
          </w:tcPr>
          <w:p>
            <w:pPr>
              <w:jc w:val="center"/>
              <w:ind w:right="262"/>
              <w:spacing w:after="0"/>
              <w:rPr>
                <w:sz w:val="20"/>
                <w:szCs w:val="20"/>
                <w:color w:val="auto"/>
              </w:rPr>
            </w:pPr>
            <w:r>
              <w:rPr>
                <w:rFonts w:ascii="Arial" w:cs="Arial" w:eastAsia="Arial" w:hAnsi="Arial"/>
                <w:sz w:val="14"/>
                <w:szCs w:val="14"/>
                <w:b w:val="1"/>
                <w:bCs w:val="1"/>
                <w:color w:val="auto"/>
                <w:w w:val="98"/>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20" w:type="dxa"/>
            <w:vAlign w:val="bottom"/>
          </w:tcPr>
          <w:p>
            <w:pPr>
              <w:jc w:val="center"/>
              <w:ind w:right="39"/>
              <w:spacing w:after="0"/>
              <w:rPr>
                <w:sz w:val="20"/>
                <w:szCs w:val="20"/>
                <w:color w:val="auto"/>
              </w:rPr>
            </w:pPr>
            <w:r>
              <w:rPr>
                <w:rFonts w:ascii="Arial" w:cs="Arial" w:eastAsia="Arial" w:hAnsi="Arial"/>
                <w:sz w:val="18"/>
                <w:szCs w:val="18"/>
                <w:b w:val="1"/>
                <w:bCs w:val="1"/>
                <w:color w:val="auto"/>
                <w:w w:val="87"/>
              </w:rPr>
              <w:t>436 Seventh Avenue</w:t>
            </w:r>
          </w:p>
        </w:tc>
        <w:tc>
          <w:tcPr>
            <w:tcW w:w="25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Pittsburgh, Pennsylvania</w:t>
            </w:r>
          </w:p>
        </w:tc>
        <w:tc>
          <w:tcPr>
            <w:tcW w:w="2540" w:type="dxa"/>
            <w:vAlign w:val="bottom"/>
          </w:tcPr>
          <w:p>
            <w:pPr>
              <w:spacing w:after="0"/>
              <w:rPr>
                <w:sz w:val="19"/>
                <w:szCs w:val="19"/>
                <w:color w:val="auto"/>
              </w:rPr>
            </w:pPr>
          </w:p>
        </w:tc>
        <w:tc>
          <w:tcPr>
            <w:tcW w:w="2880" w:type="dxa"/>
            <w:vAlign w:val="bottom"/>
          </w:tcPr>
          <w:p>
            <w:pPr>
              <w:jc w:val="right"/>
              <w:ind w:right="1241"/>
              <w:spacing w:after="0"/>
              <w:rPr>
                <w:sz w:val="20"/>
                <w:szCs w:val="20"/>
                <w:color w:val="auto"/>
              </w:rPr>
            </w:pPr>
            <w:r>
              <w:rPr>
                <w:rFonts w:ascii="Arial" w:cs="Arial" w:eastAsia="Arial" w:hAnsi="Arial"/>
                <w:sz w:val="18"/>
                <w:szCs w:val="18"/>
                <w:b w:val="1"/>
                <w:bCs w:val="1"/>
                <w:color w:val="auto"/>
              </w:rPr>
              <w:t>15219</w:t>
            </w:r>
          </w:p>
        </w:tc>
      </w:tr>
      <w:tr>
        <w:trPr>
          <w:trHeight w:val="186"/>
        </w:trPr>
        <w:tc>
          <w:tcPr>
            <w:tcW w:w="36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40" w:type="dxa"/>
            <w:vAlign w:val="bottom"/>
          </w:tcPr>
          <w:p>
            <w:pPr>
              <w:spacing w:after="0"/>
              <w:rPr>
                <w:sz w:val="16"/>
                <w:szCs w:val="16"/>
                <w:color w:val="auto"/>
              </w:rPr>
            </w:pPr>
          </w:p>
        </w:tc>
        <w:tc>
          <w:tcPr>
            <w:tcW w:w="288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(412) 227-2001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8, 2015 we issued a press release announcing first quarter 2015 results. A copy of the press release is included in this Current Report on Form 8-K as Exhibit 99.1 and is furnished herewith.</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Koppers Holdings Inc. (“Koppers”) Annual Meeting of Shareholders (the “Annual Meeting”) was held on May 7, 2015. Four matters were considered and voted upon at the Annual Meeting: (1) the election of seven persons to serve on our board of directors; (2) an amendment to our Amended and Restated Articles of Incorporation (the “Articles”) to increase the number of authorized shares of common stock; (3) an advisory vote to approve executive compensation; and (4) the ratification of the appointment of Ernst &amp; Young LLP as our independent registered public accounting firm for 2015.</w:t>
      </w:r>
    </w:p>
    <w:p>
      <w:pPr>
        <w:spacing w:after="0" w:line="15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Nominations of Cynthia A. Baldwin, Leroy M. Ball, Jr., Sharon Feng, Ph.D., Albert J. Neupaver, Stephen R. Tritch, Walter W. Turner</w:t>
      </w:r>
      <w:r>
        <w:rPr>
          <w:rFonts w:ascii="Arial" w:cs="Arial" w:eastAsia="Arial" w:hAnsi="Arial"/>
          <w:sz w:val="18"/>
          <w:szCs w:val="18"/>
          <w:b w:val="1"/>
          <w:bCs w:val="1"/>
          <w:color w:val="auto"/>
        </w:rPr>
        <w:t xml:space="preserve"> </w:t>
      </w:r>
      <w:r>
        <w:rPr>
          <w:rFonts w:ascii="Arial" w:cs="Arial" w:eastAsia="Arial" w:hAnsi="Arial"/>
          <w:sz w:val="18"/>
          <w:szCs w:val="18"/>
          <w:color w:val="auto"/>
        </w:rPr>
        <w:t>and T. Michael Young to serve as directors for a one-year term expiring in 2016 were considered and all nominees were elected. All nominees for election as director received a majority of votes cast. The final voting results are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Director Name</w:t>
            </w:r>
          </w:p>
        </w:tc>
        <w:tc>
          <w:tcPr>
            <w:tcW w:w="532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color w:val="auto"/>
              </w:rPr>
              <w:t>For</w:t>
            </w: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Against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w w:val="94"/>
              </w:rPr>
              <w:t>Abstain</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Broker Non-Votes</w:t>
            </w: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Cynthia A. Baldwin</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16,998,615</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458,750</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6,064</w:t>
            </w:r>
          </w:p>
        </w:tc>
        <w:tc>
          <w:tcPr>
            <w:tcW w:w="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1,720,589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Leroy M. Ball, Jr.</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17,217,824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240,951</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4,654</w:t>
            </w:r>
          </w:p>
        </w:tc>
        <w:tc>
          <w:tcPr>
            <w:tcW w:w="1040" w:type="dxa"/>
            <w:vAlign w:val="bottom"/>
          </w:tcPr>
          <w:p>
            <w:pPr>
              <w:jc w:val="right"/>
              <w:spacing w:after="0"/>
              <w:rPr>
                <w:sz w:val="20"/>
                <w:szCs w:val="20"/>
                <w:color w:val="auto"/>
              </w:rPr>
            </w:pPr>
            <w:r>
              <w:rPr>
                <w:rFonts w:ascii="Arial" w:cs="Arial" w:eastAsia="Arial" w:hAnsi="Arial"/>
                <w:sz w:val="18"/>
                <w:szCs w:val="18"/>
                <w:color w:val="auto"/>
              </w:rPr>
              <w:t>1,720,589</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Feng, Ph.D.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17,212,299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245,966</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5,164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1,720,589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Albert J. Neupaver</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17,202,484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256,281</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4,664</w:t>
            </w:r>
          </w:p>
        </w:tc>
        <w:tc>
          <w:tcPr>
            <w:tcW w:w="1040" w:type="dxa"/>
            <w:vAlign w:val="bottom"/>
          </w:tcPr>
          <w:p>
            <w:pPr>
              <w:jc w:val="right"/>
              <w:spacing w:after="0"/>
              <w:rPr>
                <w:sz w:val="20"/>
                <w:szCs w:val="20"/>
                <w:color w:val="auto"/>
              </w:rPr>
            </w:pPr>
            <w:r>
              <w:rPr>
                <w:rFonts w:ascii="Arial" w:cs="Arial" w:eastAsia="Arial" w:hAnsi="Arial"/>
                <w:sz w:val="18"/>
                <w:szCs w:val="18"/>
                <w:color w:val="auto"/>
              </w:rPr>
              <w:t>1,720,589</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R. Tritch</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17,207,640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251,125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4,664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1,720,589</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Walter W. Turner</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17,133,221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325,644</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4,564</w:t>
            </w:r>
          </w:p>
        </w:tc>
        <w:tc>
          <w:tcPr>
            <w:tcW w:w="1040" w:type="dxa"/>
            <w:vAlign w:val="bottom"/>
          </w:tcPr>
          <w:p>
            <w:pPr>
              <w:jc w:val="right"/>
              <w:spacing w:after="0"/>
              <w:rPr>
                <w:sz w:val="20"/>
                <w:szCs w:val="20"/>
                <w:color w:val="auto"/>
              </w:rPr>
            </w:pPr>
            <w:r>
              <w:rPr>
                <w:rFonts w:ascii="Arial" w:cs="Arial" w:eastAsia="Arial" w:hAnsi="Arial"/>
                <w:sz w:val="18"/>
                <w:szCs w:val="18"/>
                <w:color w:val="auto"/>
              </w:rPr>
              <w:t>1,720,589</w:t>
            </w:r>
          </w:p>
        </w:tc>
        <w:tc>
          <w:tcPr>
            <w:tcW w:w="10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Michael Young</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17,204,906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253,869</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4,654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1,720,589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terms of office of David M. Hillenbrand, Ph.D. and Louis L. Testoni continued after the Annual Meeting. They will serve as directors until their terms expire in 2016 and their successors have been duly elected and qualify.</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Amendment to the Articles to Increase Authorized Common Stock: </w:t>
      </w:r>
      <w:r>
        <w:rPr>
          <w:rFonts w:ascii="Arial" w:cs="Arial" w:eastAsia="Arial" w:hAnsi="Arial"/>
          <w:sz w:val="18"/>
          <w:szCs w:val="18"/>
          <w:color w:val="auto"/>
        </w:rPr>
        <w:t>The proposal to amend our Articles to increase the number of authorized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was approved. The final voting results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14,433,006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Against: 4,734,526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Abstain: 16,486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broker non-votes with respect to this matter.</w:t>
      </w:r>
    </w:p>
    <w:p>
      <w:pPr>
        <w:spacing w:after="0" w:line="221"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Advisory Vote to Approve Executive Compensation: </w:t>
      </w:r>
      <w:r>
        <w:rPr>
          <w:rFonts w:ascii="Arial" w:cs="Arial" w:eastAsia="Arial" w:hAnsi="Arial"/>
          <w:sz w:val="18"/>
          <w:szCs w:val="18"/>
          <w:color w:val="auto"/>
        </w:rPr>
        <w:t>The advisory (non-binding) vote approving the compensation of the named executive officers of</w:t>
      </w:r>
      <w:r>
        <w:rPr>
          <w:rFonts w:ascii="Arial" w:cs="Arial" w:eastAsia="Arial" w:hAnsi="Arial"/>
          <w:sz w:val="18"/>
          <w:szCs w:val="18"/>
          <w:b w:val="1"/>
          <w:bCs w:val="1"/>
          <w:color w:val="auto"/>
        </w:rPr>
        <w:t xml:space="preserve"> </w:t>
      </w:r>
      <w:r>
        <w:rPr>
          <w:rFonts w:ascii="Arial" w:cs="Arial" w:eastAsia="Arial" w:hAnsi="Arial"/>
          <w:sz w:val="18"/>
          <w:szCs w:val="18"/>
          <w:color w:val="auto"/>
        </w:rPr>
        <w:t>Koppers as disclosed in the Notice of Annual Meeting and Proxy Statement for the 2015 Annual Meeting was approved. The final voting results are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16,822,530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Against: 629,977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Abstain: 10,922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1,720,589</w:t>
      </w:r>
    </w:p>
    <w:p>
      <w:pPr>
        <w:sectPr>
          <w:pgSz w:w="11900" w:h="16838" w:orient="portrait"/>
          <w:cols w:equalWidth="0" w:num="1">
            <w:col w:w="11380"/>
          </w:cols>
          <w:pgMar w:left="240" w:top="270" w:right="279" w:bottom="1440" w:gutter="0" w:footer="0" w:header="0"/>
        </w:sectPr>
      </w:pPr>
    </w:p>
    <w:bookmarkStart w:id="2" w:name="page3"/>
    <w:bookmarkEnd w:id="2"/>
    <w:p>
      <w:pPr>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Ratification of Appointment of Ernst &amp; Young LLP: </w:t>
      </w:r>
      <w:r>
        <w:rPr>
          <w:rFonts w:ascii="Arial" w:cs="Arial" w:eastAsia="Arial" w:hAnsi="Arial"/>
          <w:sz w:val="16"/>
          <w:szCs w:val="16"/>
          <w:color w:val="auto"/>
        </w:rPr>
        <w:t>The Audit Committee of the Board of Directors of Koppers appointed Ernst &amp; Young LLP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the year 2015. The final voting results to ratify the appointment of Ernst &amp; Young LLP are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19,054,599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Against: 117,059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Abstain: 12,360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broker non-votes with respect to this matter.</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 The following exhibits are furnished herewith:</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99.1   Press Release dated May 8, 2015</w:t>
      </w:r>
    </w:p>
    <w:p>
      <w:pPr>
        <w:sectPr>
          <w:pgSz w:w="11900" w:h="16838" w:orient="portrait"/>
          <w:cols w:equalWidth="0" w:num="1">
            <w:col w:w="11080"/>
          </w:cols>
          <w:pgMar w:left="240" w:top="270" w:right="57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May 8, 2015</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KOPPERS HOLDINGS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Michael J. Zugay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J. Zugay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40"/>
          </w:cols>
          <w:pgMar w:left="240" w:top="274" w:right="919" w:bottom="1440" w:gutter="0" w:footer="0" w:header="0"/>
        </w:sectPr>
      </w:pPr>
    </w:p>
    <w:bookmarkStart w:id="4" w:name="page5"/>
    <w:bookmarkEnd w:id="4"/>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8, 2015</w:t>
      </w:r>
    </w:p>
    <w:p>
      <w:pPr>
        <w:sectPr>
          <w:pgSz w:w="11900" w:h="16838" w:orient="portrait"/>
          <w:cols w:equalWidth="0" w:num="1">
            <w:col w:w="10219"/>
          </w:cols>
          <w:pgMar w:left="240" w:top="27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20" w:type="dxa"/>
            <w:vAlign w:val="bottom"/>
          </w:tcPr>
          <w:p>
            <w:pPr>
              <w:ind w:left="7080"/>
              <w:spacing w:after="0"/>
              <w:rPr>
                <w:sz w:val="20"/>
                <w:szCs w:val="20"/>
                <w:color w:val="auto"/>
              </w:rPr>
            </w:pPr>
            <w:r>
              <w:rPr>
                <w:rFonts w:ascii="Arial" w:cs="Arial" w:eastAsia="Arial" w:hAnsi="Arial"/>
                <w:sz w:val="18"/>
                <w:szCs w:val="18"/>
                <w:b w:val="1"/>
                <w:bCs w:val="1"/>
                <w:color w:val="auto"/>
                <w:w w:val="91"/>
              </w:rPr>
              <w:t>Exhibit 99.1</w:t>
            </w:r>
          </w:p>
        </w:tc>
      </w:tr>
      <w:tr>
        <w:trPr>
          <w:trHeight w:val="459"/>
        </w:trPr>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20" w:type="dxa"/>
            <w:vAlign w:val="bottom"/>
          </w:tcPr>
          <w:p>
            <w:pPr>
              <w:ind w:left="5180"/>
              <w:spacing w:after="0"/>
              <w:rPr>
                <w:sz w:val="20"/>
                <w:szCs w:val="20"/>
                <w:color w:val="auto"/>
              </w:rPr>
            </w:pPr>
            <w:r>
              <w:rPr>
                <w:rFonts w:ascii="Arial" w:cs="Arial" w:eastAsia="Arial" w:hAnsi="Arial"/>
                <w:sz w:val="18"/>
                <w:szCs w:val="18"/>
                <w:b w:val="1"/>
                <w:bCs w:val="1"/>
                <w:color w:val="auto"/>
              </w:rPr>
              <w:t>Koppers Holdings Inc.</w:t>
            </w:r>
          </w:p>
        </w:tc>
      </w:tr>
      <w:tr>
        <w:trPr>
          <w:trHeight w:val="324"/>
        </w:trPr>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20" w:type="dxa"/>
            <w:vAlign w:val="bottom"/>
          </w:tcPr>
          <w:p>
            <w:pPr>
              <w:ind w:left="5180"/>
              <w:spacing w:after="0"/>
              <w:rPr>
                <w:sz w:val="20"/>
                <w:szCs w:val="20"/>
                <w:color w:val="auto"/>
              </w:rPr>
            </w:pPr>
            <w:r>
              <w:rPr>
                <w:rFonts w:ascii="Arial" w:cs="Arial" w:eastAsia="Arial" w:hAnsi="Arial"/>
                <w:sz w:val="18"/>
                <w:szCs w:val="18"/>
                <w:b w:val="1"/>
                <w:bCs w:val="1"/>
                <w:color w:val="auto"/>
              </w:rPr>
              <w:t>436 Seventh Avenue</w:t>
            </w:r>
          </w:p>
        </w:tc>
      </w:tr>
      <w:tr>
        <w:trPr>
          <w:trHeight w:val="338"/>
        </w:trPr>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20" w:type="dxa"/>
            <w:vAlign w:val="bottom"/>
          </w:tcPr>
          <w:p>
            <w:pPr>
              <w:ind w:left="5180"/>
              <w:spacing w:after="0"/>
              <w:rPr>
                <w:sz w:val="20"/>
                <w:szCs w:val="20"/>
                <w:color w:val="auto"/>
              </w:rPr>
            </w:pPr>
            <w:r>
              <w:rPr>
                <w:rFonts w:ascii="Arial" w:cs="Arial" w:eastAsia="Arial" w:hAnsi="Arial"/>
                <w:sz w:val="18"/>
                <w:szCs w:val="18"/>
                <w:b w:val="1"/>
                <w:bCs w:val="1"/>
                <w:color w:val="auto"/>
              </w:rPr>
              <w:t>Pittsburgh, PA 15219-1800</w:t>
            </w:r>
          </w:p>
        </w:tc>
      </w:tr>
      <w:tr>
        <w:trPr>
          <w:trHeight w:val="338"/>
        </w:trPr>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20" w:type="dxa"/>
            <w:vAlign w:val="bottom"/>
          </w:tcPr>
          <w:p>
            <w:pPr>
              <w:ind w:left="5180"/>
              <w:spacing w:after="0"/>
              <w:rPr>
                <w:sz w:val="20"/>
                <w:szCs w:val="20"/>
                <w:color w:val="auto"/>
              </w:rPr>
            </w:pPr>
            <w:r>
              <w:rPr>
                <w:rFonts w:ascii="Arial" w:cs="Arial" w:eastAsia="Arial" w:hAnsi="Arial"/>
                <w:sz w:val="18"/>
                <w:szCs w:val="18"/>
                <w:b w:val="1"/>
                <w:bCs w:val="1"/>
                <w:color w:val="auto"/>
              </w:rPr>
              <w:t>Tel 412 227 2001</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rPr>
              <w:t>News Release</w:t>
            </w:r>
          </w:p>
        </w:tc>
        <w:tc>
          <w:tcPr>
            <w:tcW w:w="1780" w:type="dxa"/>
            <w:vAlign w:val="bottom"/>
          </w:tcPr>
          <w:p>
            <w:pPr>
              <w:spacing w:after="0"/>
              <w:rPr>
                <w:sz w:val="24"/>
                <w:szCs w:val="24"/>
                <w:color w:val="auto"/>
              </w:rPr>
            </w:pPr>
          </w:p>
        </w:tc>
        <w:tc>
          <w:tcPr>
            <w:tcW w:w="8020" w:type="dxa"/>
            <w:vAlign w:val="bottom"/>
          </w:tcPr>
          <w:p>
            <w:pPr>
              <w:ind w:left="5180"/>
              <w:spacing w:after="0"/>
              <w:rPr>
                <w:sz w:val="20"/>
                <w:szCs w:val="20"/>
                <w:color w:val="auto"/>
              </w:rPr>
            </w:pPr>
            <w:r>
              <w:rPr>
                <w:rFonts w:ascii="Arial" w:cs="Arial" w:eastAsia="Arial" w:hAnsi="Arial"/>
                <w:sz w:val="18"/>
                <w:szCs w:val="18"/>
                <w:b w:val="1"/>
                <w:bCs w:val="1"/>
                <w:color w:val="auto"/>
              </w:rPr>
              <w:t>www.koppers.com</w:t>
            </w:r>
          </w:p>
        </w:tc>
      </w:tr>
      <w:tr>
        <w:trPr>
          <w:trHeight w:val="540"/>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r>
      <w:tr>
        <w:trPr>
          <w:trHeight w:val="445"/>
        </w:trPr>
        <w:tc>
          <w:tcPr>
            <w:tcW w:w="1620" w:type="dxa"/>
            <w:vAlign w:val="bottom"/>
          </w:tcPr>
          <w:p>
            <w:pPr>
              <w:spacing w:after="0"/>
              <w:rPr>
                <w:sz w:val="20"/>
                <w:szCs w:val="20"/>
                <w:color w:val="auto"/>
              </w:rPr>
            </w:pPr>
            <w:r>
              <w:rPr>
                <w:rFonts w:ascii="Arial" w:cs="Arial" w:eastAsia="Arial" w:hAnsi="Arial"/>
                <w:sz w:val="18"/>
                <w:szCs w:val="18"/>
                <w:color w:val="auto"/>
              </w:rPr>
              <w:t>For Information:</w:t>
            </w:r>
          </w:p>
        </w:tc>
        <w:tc>
          <w:tcPr>
            <w:tcW w:w="9800" w:type="dxa"/>
            <w:vAlign w:val="bottom"/>
            <w:gridSpan w:val="2"/>
          </w:tcPr>
          <w:p>
            <w:pPr>
              <w:spacing w:after="0"/>
              <w:rPr>
                <w:sz w:val="20"/>
                <w:szCs w:val="20"/>
                <w:color w:val="auto"/>
              </w:rPr>
            </w:pPr>
            <w:r>
              <w:rPr>
                <w:rFonts w:ascii="Arial" w:cs="Arial" w:eastAsia="Arial" w:hAnsi="Arial"/>
                <w:sz w:val="18"/>
                <w:szCs w:val="18"/>
                <w:color w:val="auto"/>
              </w:rPr>
              <w:t>Michael J. Zugay, Chief Financial Officer</w:t>
            </w:r>
          </w:p>
        </w:tc>
      </w:tr>
      <w:tr>
        <w:trPr>
          <w:trHeight w:val="216"/>
        </w:trPr>
        <w:tc>
          <w:tcPr>
            <w:tcW w:w="16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412 227 2231</w:t>
            </w:r>
          </w:p>
        </w:tc>
        <w:tc>
          <w:tcPr>
            <w:tcW w:w="8020" w:type="dxa"/>
            <w:vAlign w:val="bottom"/>
          </w:tcPr>
          <w:p>
            <w:pPr>
              <w:spacing w:after="0"/>
              <w:rPr>
                <w:sz w:val="18"/>
                <w:szCs w:val="18"/>
                <w:color w:val="auto"/>
              </w:rPr>
            </w:pPr>
          </w:p>
        </w:tc>
      </w:tr>
      <w:tr>
        <w:trPr>
          <w:trHeight w:val="190"/>
        </w:trPr>
        <w:tc>
          <w:tcPr>
            <w:tcW w:w="1620" w:type="dxa"/>
            <w:vAlign w:val="bottom"/>
          </w:tcPr>
          <w:p>
            <w:pPr>
              <w:spacing w:after="0"/>
              <w:rPr>
                <w:sz w:val="16"/>
                <w:szCs w:val="16"/>
                <w:color w:val="auto"/>
              </w:rPr>
            </w:pPr>
          </w:p>
        </w:tc>
        <w:tc>
          <w:tcPr>
            <w:tcW w:w="17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ZugayMJ@koppers.com</w:t>
            </w:r>
          </w:p>
        </w:tc>
        <w:tc>
          <w:tcPr>
            <w:tcW w:w="8020" w:type="dxa"/>
            <w:vAlign w:val="bottom"/>
          </w:tcPr>
          <w:p>
            <w:pPr>
              <w:spacing w:after="0"/>
              <w:rPr>
                <w:sz w:val="16"/>
                <w:szCs w:val="16"/>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Koppers Holdings Inc. Reports First Quarter 2015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Sales increase 20 percent from prior year quarter driven by revenues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Osmose acquisition and higher untreated crosstie volumes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RUPS has record first quarter sales and profit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CMC segment negatively affected by lower oil prices and plant outage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2015 Diluted EPS of $(0.16) and Adjusted EPS of $0.03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affirms 2015 guidance</w:t>
      </w:r>
    </w:p>
    <w:p>
      <w:pPr>
        <w:spacing w:after="0" w:line="22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PITTSBURGH, May 8, 2015 </w:t>
      </w:r>
      <w:r>
        <w:rPr>
          <w:rFonts w:ascii="Arial" w:cs="Arial" w:eastAsia="Arial" w:hAnsi="Arial"/>
          <w:sz w:val="16"/>
          <w:szCs w:val="16"/>
          <w:color w:val="auto"/>
        </w:rPr>
        <w:t>– Koppers Holdings Inc. (NYSE: KOP), a global integrated producer of carbon compounds, specialty chemicals and treated</w:t>
      </w:r>
      <w:r>
        <w:rPr>
          <w:rFonts w:ascii="Arial" w:cs="Arial" w:eastAsia="Arial" w:hAnsi="Arial"/>
          <w:sz w:val="16"/>
          <w:szCs w:val="16"/>
          <w:b w:val="1"/>
          <w:bCs w:val="1"/>
          <w:color w:val="auto"/>
        </w:rPr>
        <w:t xml:space="preserve"> </w:t>
      </w:r>
      <w:r>
        <w:rPr>
          <w:rFonts w:ascii="Arial" w:cs="Arial" w:eastAsia="Arial" w:hAnsi="Arial"/>
          <w:sz w:val="16"/>
          <w:szCs w:val="16"/>
          <w:color w:val="auto"/>
        </w:rPr>
        <w:t>wood products and services, today reported consolidated sales of $397.8 million for the first quarter of 2015, an increase of 20 percent, or $66.4 million, from sales of $331.4 million in the first quarter of 2014. The increase was driven by approximately $95.0 million in sales from the Osmose acquisition and a record sales quarter for Railroad and Utility Products and Services (RUPS). These increases were partially offset by lower sales for Carbon Materials and Chemicals (CMC) and the negative impact from foreign currency. Sales for CMC decreased due mainly to lower sales prices for products affected by lower oil prices.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loss for the quarter was $(3.4) million, or $(0.16) per diluted share compared to net income of $2.2 million, or $0.11 per diluted share in the first quarter of 2014. Adjusted net income and adjusted earnings per share were $0.6 million and $0.03 per share for the first quarter of 2015 compared to $6.6 million and $0.32 per share in the prior year quarter. Adjustments to net income for the first quarter of 2015 amounted to $4.0 million and consisted of plant closing and impairment charges and LIFO expense, which more than offset a gain on the sale of the North American utility pole business. Adjustments to net income for the first quarter of 2014 totaled $4.4 million and consisted of plant closing and impairment charges.</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Koppers North American railroad results improved due to increased hardwood availability and the Performance Chemicals (PC) business performed consistent with expectations, profitability for CMC was adversely affected by the impact of lower oil prices on the selling prices of certain CMC products while an extended unplanned outage at the Stickney, Illinois plant had an approximate $1.9 million pre-tax impact on results. Also impacting earnings were net foreign exchange losses of $2.3 million that were recognized during the first quarter of 2015. Additionally, an increase in interest expense of $6.2 million due to higher debt levels also negatively impacted earnings for the quarter.</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Commenting on the quarter, Leroy Ball, president and CEO of Koppers, said, “I am encouraged by the fact that our first quarter results finished in line with our expectations, given the impact of the extended outage at our Stickney facility and the larger than expected foreign exchange losses that were incurred during the quarter. Untreated crosstie availability continues to improve, which helped drive our RUPS segment to record first quarter results while PC turned in solid numbers that were seasonally in line with prior years’ performance.”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Ball continued, “I am particularly pleased that we were able to pay down approximately $35 million in debt during a seasonally weak first quarter, which puts us well on track to meet or exceed our $100 million minimum debt reduction goal for this year. As we transition into the second quarter, our focus continues to be on generating cash to de-lever the balance sheet, de-emphasizing our CMC growth strategy in the low-margin emerging markets, and restructuring the overall CMC operating footprint.”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Guidance Affirmed</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Commenting on 2015 Mr. Ball said, “I remain comfortable with our previously issued guidance that provides for sales of approximately $1.7 billion, adjusted EBITDA of $165 million-175 million, and adjusted EPS of $1.60-$1.90. CMC plant reliability, the relative strength of crosstie availability, and any potential reductions in railroad maintenance budgets will determine where within the range we finish the year as we are still projecting no benefit from any potential increase in crude oil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First-Quarter Financial Performance:</w:t>
      </w:r>
    </w:p>
    <w:p>
      <w:pPr>
        <w:spacing w:after="0" w:line="135" w:lineRule="exact"/>
        <w:rPr>
          <w:sz w:val="20"/>
          <w:szCs w:val="20"/>
          <w:color w:val="auto"/>
        </w:rPr>
      </w:pPr>
    </w:p>
    <w:p>
      <w:pPr>
        <w:ind w:left="900" w:right="40" w:hanging="446"/>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Sales for RUPS of $158.1 million increased by 23 percent or $29.3 million compared to sales of $128.8 million in the prior year quarter. The net increase in sales in RUPS was due mainly to higher sales volumes for railroad crossties. The incremental sales from the Osmose businesses that are included in RUPS were almost entirely offset by lower sales of utility poles due to the sale of the North American utility business, lower sales volumes of poles in Australia, and the negative translation effect of the stronger US dollar on Australian pole sales.</w:t>
      </w:r>
    </w:p>
    <w:p>
      <w:pPr>
        <w:spacing w:after="0" w:line="76" w:lineRule="exact"/>
        <w:rPr>
          <w:rFonts w:ascii="Arial" w:cs="Arial" w:eastAsia="Arial" w:hAnsi="Arial"/>
          <w:sz w:val="17"/>
          <w:szCs w:val="17"/>
          <w:color w:val="auto"/>
        </w:rPr>
      </w:pPr>
    </w:p>
    <w:p>
      <w:pPr>
        <w:ind w:left="900" w:right="22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PC reported revenues of $81.5 million for the first quarter, which like the fourth quarter, is one of its seasonally weaker quarters for sales and profitability. Sales in each region that the PC segment operates in were at or better than expectations in the first quarter when measured in local currency.</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for CMC totaling $158.2 million decreased by 22 percent or $44.4 million compared to sales of $202.6 million in the prior year quarter. The decline was due to lower sales prices for carbon black feedstock, phthalic anhydride, and naphthalene, which were driven by lower oil prices, and foreign currency reduced CMC sales by approximately $13.2 million. These decreases in sales were partially offset by $14.6 million of incremental revenues from the KJCC joint venture in China.</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was $26.9 million compared to $25.4 million in the first quarter of 2014 due mainly to incremental earnings from the Osmose acquisition, higher earnings from RUPS, and lower global coal tar raw material costs, which more than offset lower earnings from CMC driven by lower sales prices, the impact of the Stickney plant outage, and foreign currency losses.</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Items excluded from adjusted EBITDA for the quarter included $5.4 million of pre-tax charges related to impairment, restructuring and plant closure costs, and $0.6 million of LIFO expense, partially offset by a net gain on sale of the utility business of $2.3 million. Adjusted net income and adjusted EPS exclude a $4.0 million impact related to the items above.</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company’s 2015 guidance, Adjusted EBITDA and Adjusted EPS exclude restructuring, impairment, and plant closure charges and LIFO charges, the exact amounts of which are not determinable, but may be significant. For that reason, the company is unable to provide GAAP earnings estimates at this time. In addition, 2015 GAAP results are subject to completion of the company’s year-end accounting processes, which include the finalization of several potentially significant items that could affect these results. These items include, among others, required adjustments to preliminary purchase accounting and the company’s annual provision for income taxes. Final results could also be affected by various other factors that we are unaware of at this time.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and Web Simulcast</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Koppers management will conduct a conference call this morning, May 8, 2015, beginning at 11:00 a.m. EDT to discuss the company’s performance. Interested parties may access the live audio broadcast by dialing 888 505 4368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 w:name="page8"/>
    <w:bookmarkEnd w:id="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US/Canada or +1 719 457 1035 for International, Conference ID number 6719610. Investors are requested to access the call at least five minutes before the scheduled start time in order to complete a brief registration. An audio replay will be available approximately two hours after the call’s completion at 888 203 1112 or +1 719 457 0820, Conference ID number 6719610. The recording will be available for replay through May 22, 2015.</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live broadcast of Koppers conference call will be available online: http://edge.media-server.com/m/p/hp5ejqp9/lan/en. (Due to the length of this URL, it may be necessary to copy and paste this hyperlink into your Internet browser’s URL address field.)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note that there will be presentation materials posted to the company’s website prior to the call.</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you are unable to participate during the live webcast, the call will be archived on www.koppers.com and www.streetevents.com shortly after the live call and continuing through May 22</w:t>
      </w:r>
      <w:r>
        <w:rPr>
          <w:rFonts w:ascii="Arial" w:cs="Arial" w:eastAsia="Arial" w:hAnsi="Arial"/>
          <w:sz w:val="18"/>
          <w:szCs w:val="18"/>
          <w:b w:val="1"/>
          <w:bCs w:val="1"/>
          <w:color w:val="auto"/>
        </w:rPr>
        <w:t>,</w:t>
      </w:r>
      <w:r>
        <w:rPr>
          <w:rFonts w:ascii="Arial" w:cs="Arial" w:eastAsia="Arial" w:hAnsi="Arial"/>
          <w:sz w:val="18"/>
          <w:szCs w:val="18"/>
          <w:color w:val="auto"/>
        </w:rPr>
        <w:t xml:space="preserve"> 2015.</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reconciliations are included in this press release: Unaudited Reconciliation of Net Income Attributable to Koppers and Adjusted Net Income; Unaudited Reconciliation of Diluted Earnings Per Share and Adjusted Earnings Per Share; and Unaudited Reconciliation of Net Income to EBITDA and Adjusted EBITDA.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Koppers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Koppers, with corporate headquarters in Pittsburgh, Pennsylvania, is an integrated global producer of carbon compounds, specialty chemicals, and treated wood products and services for the aluminum, railroad, specialty chemical, utility, rubber, concrete, steel, residential lumber, and agriculture industries. Including our joint ventures, we serve our customers through a comprehensive global manufacturing and distribution network, with facilities located in North America, South America, Australasia, China and Europe. The stock of Koppers Holdings Inc. is publicly traded on the New York Stock Exchange under the symbol “KOP.” For more information, visit us on the Web: www.koppers.com. Questions concerning investor relations should be directed to Michael J. Zugay at 412 227 2231 or Michael W. Snyder at 412 227 2131.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may include, but are not limited to, statements about sales levels, acquisitions, restructuring, declines in the value of Koppers assets and the effect of any resulting impairment charges, profitability and anticipated expenses and cash outflows. All forward-looking statements involve risks and uncertainties. All statements contained herein that are not clearly historical in nature are forward-looking, and words such as “believe,” “anticipate,” “expect,” “estimate,” “may,” “will,” “should,” “continue,” “plans,” “potential,” “intends,” “likely,” or other similar words or phrases are generally intended to identify forward-looking statements. Any forward-looking statement contained herein, in other press releases, written statements or other documents filed with the Securities and Exchange Commission, or in Koppers communications with and discussions with investors and analysts in the normal course of business through meetings, phone calls and conference calls, regarding expectations with respect to sales, earnings, cash flows, operating efficiencies, product introduction or expansion, the benefits of acquisitions, divestitures, joint ventures or other matters as well as financings and repurchases of debt or equity securities, are subject to known and unknown risks, uncertainties and contingencies. Many of these risks, uncertainties and contingencies are beyond our control, and may cause actual results, performance or achievements to differ materially from anticipated results, performance or achievements. Factors that might affect such forward-looking statements, include, among other things, the impact of the price of oil on certain of our products; Koppers may not be able to successfully integrate the wood preservatives business and/or the railroad services business of Osmose or such integration may take longer to accomplish than expected; the expected cost savings and any synergies from the Osmose acquisition may not be fully realized within the expected timeframes; disruption from the Osmose acquisition may make it more difficult to maintain relationships with clients, associates or suppliers; continuing uncertain economic conditions in Europe, demand for Koppers goods and services, competitive conditions, interest rate and foreign currency rate fluctuations, availability and costs of key raw materials, unfavorable resolution of claims against us, as well as those discussed more fully elsewhere in this release and in documents filed with the Securities and Exchange Commission by Koppers, particularly our latest annual report on Form 10-K and quarterly report on Form 10-Q. Any forward-looking statements in this release speak only as of the date of this release, and we undertake no obligation to update any forward-looking statement to reflect events or circumstances after that date or to reflect the occurrence of unanticipated events.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Koppers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244"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Three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Cost of sales (excluding items below)</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Gain on sale of business</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restructuring charges</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income</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Net (loss) income attributable to Koppers</w:t>
            </w:r>
          </w:p>
        </w:tc>
        <w:tc>
          <w:tcPr>
            <w:tcW w:w="4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common share:</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720" w:type="dxa"/>
            <w:vAlign w:val="bottom"/>
          </w:tcPr>
          <w:p>
            <w:pPr>
              <w:ind w:left="700"/>
              <w:spacing w:after="0"/>
              <w:rPr>
                <w:sz w:val="20"/>
                <w:szCs w:val="20"/>
                <w:color w:val="auto"/>
              </w:rPr>
            </w:pPr>
            <w:r>
              <w:rPr>
                <w:rFonts w:ascii="Arial" w:cs="Arial" w:eastAsia="Arial" w:hAnsi="Arial"/>
                <w:sz w:val="18"/>
                <w:szCs w:val="18"/>
                <w:color w:val="auto"/>
              </w:rPr>
              <w:t>(Loss) earnings per basic common share</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earnings per diluted common share</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Weighted average shares outstanding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40" w:type="dxa"/>
            <w:vAlign w:val="bottom"/>
            <w:gridSpan w:val="2"/>
            <w:vMerge w:val="continue"/>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20,512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Diluted</w:t>
            </w: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20,512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960" w:type="dxa"/>
            <w:vAlign w:val="bottom"/>
            <w:vMerge w:val="restart"/>
          </w:tcPr>
          <w:p>
            <w:pPr>
              <w:jc w:val="right"/>
              <w:ind w:right="385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Koppers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March 31, 2015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of $5.3 and $5.6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190.8</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222.5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495.3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Equity in non-consolidated investments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294.0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248.7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 net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w:t>
            </w:r>
            <w:r>
              <w:rPr>
                <w:rFonts w:ascii="Arial" w:cs="Arial" w:eastAsia="Arial" w:hAnsi="Arial"/>
                <w:sz w:val="18"/>
                <w:szCs w:val="18"/>
                <w:u w:val="single" w:color="auto"/>
                <w:color w:val="auto"/>
              </w:rPr>
              <w:t>8</w:t>
            </w:r>
          </w:p>
        </w:tc>
        <w:tc>
          <w:tcPr>
            <w:tcW w:w="7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Accounts payable</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142.9</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107.4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7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770.9</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Accrued postretirement benefits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53.8</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47.0</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1,177.4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tcPr>
          <w:p>
            <w:pPr>
              <w:spacing w:after="0" w:line="201" w:lineRule="exact"/>
              <w:rPr>
                <w:sz w:val="20"/>
                <w:szCs w:val="20"/>
                <w:color w:val="auto"/>
              </w:rPr>
            </w:pPr>
            <w:r>
              <w:rPr>
                <w:rFonts w:ascii="Arial" w:cs="Arial" w:eastAsia="Arial" w:hAnsi="Arial"/>
                <w:sz w:val="18"/>
                <w:szCs w:val="18"/>
                <w:color w:val="auto"/>
                <w:w w:val="97"/>
              </w:rPr>
              <w:t>Senior Convertible Preferred Stock, $0.01 par value per share; 10,000,000 shares authorized; no shares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issued</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per share; 40,000,000 shares authorized; 21,991,940 and 21,938,260 shares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165.1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1,457,523 and 1,443,248 shares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Total Koppers shareholders’ equity</w:t>
            </w: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7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70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1,243.8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jc w:val="right"/>
              <w:ind w:right="23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Koppers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Cash Flows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98"/>
              </w:rPr>
              <w:t>March 31, 2015</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236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Adjustments to reconcile net cash provided by operating activities: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and restructuring charges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Gain on sale of assets and businesses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Equity loss, net of dividends received</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other liabilities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Non-cash interest expense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working capital:</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 and other working capital</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1420"/>
              <w:spacing w:after="0"/>
              <w:rPr>
                <w:sz w:val="20"/>
                <w:szCs w:val="20"/>
                <w:color w:val="auto"/>
              </w:rPr>
            </w:pPr>
            <w:r>
              <w:rPr>
                <w:rFonts w:ascii="Arial" w:cs="Arial" w:eastAsia="Arial" w:hAnsi="Arial"/>
                <w:sz w:val="18"/>
                <w:szCs w:val="18"/>
                <w:color w:val="auto"/>
                <w:w w:val="99"/>
              </w:rPr>
              <w:t>Net cash provided by (used in) operating activities</w:t>
            </w: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left="771"/>
              <w:spacing w:after="0"/>
              <w:rPr>
                <w:sz w:val="20"/>
                <w:szCs w:val="20"/>
                <w:color w:val="auto"/>
              </w:rPr>
            </w:pPr>
            <w:r>
              <w:rPr>
                <w:rFonts w:ascii="Arial" w:cs="Arial" w:eastAsia="Arial" w:hAnsi="Arial"/>
                <w:sz w:val="18"/>
                <w:szCs w:val="18"/>
                <w:color w:val="auto"/>
                <w:w w:val="85"/>
              </w:rPr>
              <w:t>19.7</w:t>
            </w:r>
          </w:p>
        </w:tc>
        <w:tc>
          <w:tcPr>
            <w:tcW w:w="1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Net cash proceeds from divestitures and asset sales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Cash (used in) provided by financing activities:</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of revolving credit</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148.1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Repayments of revolving credit</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00"/>
              <w:spacing w:after="0"/>
              <w:rPr>
                <w:sz w:val="20"/>
                <w:szCs w:val="20"/>
                <w:color w:val="auto"/>
              </w:rPr>
            </w:pPr>
            <w:r>
              <w:rPr>
                <w:rFonts w:ascii="Arial" w:cs="Arial" w:eastAsia="Arial" w:hAnsi="Arial"/>
                <w:sz w:val="18"/>
                <w:szCs w:val="18"/>
                <w:color w:val="auto"/>
              </w:rPr>
              <w:t>(176.5)</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of long-term debt</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Repayments of long-term debt</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0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Payment of deferred financing costs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jc w:val="right"/>
              <w:ind w:right="10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1060"/>
              <w:spacing w:after="0"/>
              <w:rPr>
                <w:sz w:val="20"/>
                <w:szCs w:val="20"/>
                <w:color w:val="auto"/>
              </w:rPr>
            </w:pPr>
            <w:r>
              <w:rPr>
                <w:rFonts w:ascii="Arial" w:cs="Arial" w:eastAsia="Arial" w:hAnsi="Arial"/>
                <w:sz w:val="18"/>
                <w:szCs w:val="18"/>
                <w:color w:val="auto"/>
              </w:rPr>
              <w:t>Net cash (used in) provided by financing activities</w:t>
            </w:r>
          </w:p>
        </w:tc>
        <w:tc>
          <w:tcPr>
            <w:tcW w:w="2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center"/>
              <w:ind w:left="771"/>
              <w:spacing w:after="0"/>
              <w:rPr>
                <w:sz w:val="20"/>
                <w:szCs w:val="20"/>
                <w:color w:val="auto"/>
              </w:rPr>
            </w:pPr>
            <w:r>
              <w:rPr>
                <w:rFonts w:ascii="Arial" w:cs="Arial" w:eastAsia="Arial" w:hAnsi="Arial"/>
                <w:sz w:val="18"/>
                <w:szCs w:val="18"/>
                <w:color w:val="auto"/>
                <w:w w:val="85"/>
              </w:rPr>
              <w:t>25.8</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20" w:type="dxa"/>
            <w:vAlign w:val="bottom"/>
            <w:vMerge w:val="restart"/>
          </w:tcPr>
          <w:p>
            <w:pPr>
              <w:jc w:val="right"/>
              <w:ind w:right="179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Segment Information</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following tables set forth certain sales and operating data, net of all intersegment transactions, for the company’s businesses for the periods indicated.</w:t>
      </w:r>
    </w:p>
    <w:p>
      <w:pPr>
        <w:spacing w:after="0" w:line="18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2015</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Carbon Materials and Chemicals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158.2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Railroad and Utility Products and Services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158.1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Performance Chemicals</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jc w:val="center"/>
              <w:ind w:right="7790"/>
              <w:spacing w:after="0"/>
              <w:rPr>
                <w:sz w:val="20"/>
                <w:szCs w:val="20"/>
                <w:color w:val="auto"/>
              </w:rPr>
            </w:pPr>
            <w:r>
              <w:rPr>
                <w:rFonts w:ascii="Arial" w:cs="Arial" w:eastAsia="Arial" w:hAnsi="Arial"/>
                <w:sz w:val="18"/>
                <w:szCs w:val="18"/>
                <w:color w:val="auto"/>
                <w:w w:val="94"/>
              </w:rPr>
              <w:t>Total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397.8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jc w:val="center"/>
              <w:ind w:right="7810"/>
              <w:spacing w:after="0"/>
              <w:rPr>
                <w:sz w:val="20"/>
                <w:szCs w:val="20"/>
                <w:color w:val="auto"/>
              </w:rPr>
            </w:pPr>
            <w:r>
              <w:rPr>
                <w:rFonts w:ascii="Arial" w:cs="Arial" w:eastAsia="Arial" w:hAnsi="Arial"/>
                <w:sz w:val="18"/>
                <w:szCs w:val="18"/>
                <w:b w:val="1"/>
                <w:bCs w:val="1"/>
                <w:color w:val="auto"/>
                <w:w w:val="90"/>
              </w:rPr>
              <w:t>Operating (loss) profit: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Carbon Materials and Chemicals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Railroad and Utility Products and Services</w:t>
            </w:r>
          </w:p>
        </w:tc>
        <w:tc>
          <w:tcPr>
            <w:tcW w:w="1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Chemicals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Corporate Unallocated</w:t>
            </w:r>
          </w:p>
        </w:tc>
        <w:tc>
          <w:tcPr>
            <w:tcW w:w="10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jc w:val="center"/>
              <w:ind w:right="7790"/>
              <w:spacing w:after="0"/>
              <w:rPr>
                <w:sz w:val="20"/>
                <w:szCs w:val="20"/>
                <w:color w:val="auto"/>
              </w:rPr>
            </w:pPr>
            <w:r>
              <w:rPr>
                <w:rFonts w:ascii="Arial" w:cs="Arial" w:eastAsia="Arial" w:hAnsi="Arial"/>
                <w:sz w:val="18"/>
                <w:szCs w:val="18"/>
                <w:color w:val="auto"/>
                <w:w w:val="94"/>
              </w:rPr>
              <w:t>Total</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Carbon Materials and Chemicals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Railroad and Utility Products and Services</w:t>
            </w:r>
          </w:p>
        </w:tc>
        <w:tc>
          <w:tcPr>
            <w:tcW w:w="1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 Chemicals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jc w:val="center"/>
              <w:ind w:right="7790"/>
              <w:spacing w:after="0"/>
              <w:rPr>
                <w:sz w:val="20"/>
                <w:szCs w:val="20"/>
                <w:color w:val="auto"/>
              </w:rPr>
            </w:pPr>
            <w:r>
              <w:rPr>
                <w:rFonts w:ascii="Arial" w:cs="Arial" w:eastAsia="Arial" w:hAnsi="Arial"/>
                <w:sz w:val="18"/>
                <w:szCs w:val="18"/>
                <w:color w:val="auto"/>
                <w:w w:val="94"/>
              </w:rPr>
              <w:t>Total</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(loss) income: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Carbon Materials and Chemicals</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Railroad and Utility Products and Services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Performance Chemicals</w:t>
            </w:r>
          </w:p>
        </w:tc>
        <w:tc>
          <w:tcPr>
            <w:tcW w:w="1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jc w:val="center"/>
              <w:ind w:right="7790"/>
              <w:spacing w:after="0"/>
              <w:rPr>
                <w:sz w:val="20"/>
                <w:szCs w:val="20"/>
                <w:color w:val="auto"/>
              </w:rPr>
            </w:pPr>
            <w:r>
              <w:rPr>
                <w:rFonts w:ascii="Arial" w:cs="Arial" w:eastAsia="Arial" w:hAnsi="Arial"/>
                <w:sz w:val="18"/>
                <w:szCs w:val="18"/>
                <w:color w:val="auto"/>
                <w:w w:val="94"/>
              </w:rPr>
              <w:t>Total</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Carbon Materials and Chemicals</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Railroad and Utility Products and Services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Performance Chemicals</w:t>
            </w:r>
          </w:p>
        </w:tc>
        <w:tc>
          <w:tcPr>
            <w:tcW w:w="10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jc w:val="center"/>
              <w:ind w:right="7790"/>
              <w:spacing w:after="0"/>
              <w:rPr>
                <w:sz w:val="20"/>
                <w:szCs w:val="20"/>
                <w:color w:val="auto"/>
              </w:rPr>
            </w:pPr>
            <w:r>
              <w:rPr>
                <w:rFonts w:ascii="Arial" w:cs="Arial" w:eastAsia="Arial" w:hAnsi="Arial"/>
                <w:sz w:val="18"/>
                <w:szCs w:val="18"/>
                <w:color w:val="auto"/>
                <w:w w:val="94"/>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Carbon Materials and Chemicals</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Railroad and Utility Products and Services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Performance Chemicals</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jc w:val="center"/>
              <w:ind w:right="7790"/>
              <w:spacing w:after="0"/>
              <w:rPr>
                <w:sz w:val="20"/>
                <w:szCs w:val="20"/>
                <w:color w:val="auto"/>
              </w:rPr>
            </w:pPr>
            <w:r>
              <w:rPr>
                <w:rFonts w:ascii="Arial" w:cs="Arial" w:eastAsia="Arial" w:hAnsi="Arial"/>
                <w:sz w:val="18"/>
                <w:szCs w:val="18"/>
                <w:color w:val="auto"/>
                <w:w w:val="94"/>
              </w:rPr>
              <w:t>Total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60" w:right="2520" w:hanging="5652"/>
        <w:spacing w:after="0" w:line="449" w:lineRule="auto"/>
        <w:tabs>
          <w:tab w:leader="none" w:pos="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tables below describe the adjustments to EBITDA for the quarters ended March 31, 2015 and 2014, respectively. 7</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to EBITDA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Q1 2015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3"/>
              </w:rPr>
              <w:t>Q1 2014</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right"/>
              <w:ind w:right="360"/>
              <w:spacing w:after="0"/>
              <w:rPr>
                <w:sz w:val="20"/>
                <w:szCs w:val="20"/>
                <w:color w:val="auto"/>
              </w:rPr>
            </w:pPr>
            <w:r>
              <w:rPr>
                <w:rFonts w:ascii="Arial" w:cs="Arial" w:eastAsia="Arial" w:hAnsi="Arial"/>
                <w:sz w:val="14"/>
                <w:szCs w:val="14"/>
                <w:color w:val="auto"/>
              </w:rPr>
              <w:t>COGS</w:t>
            </w:r>
          </w:p>
        </w:tc>
        <w:tc>
          <w:tcPr>
            <w:tcW w:w="360" w:type="dxa"/>
            <w:vAlign w:val="bottom"/>
          </w:tcPr>
          <w:p>
            <w:pPr>
              <w:ind w:left="40"/>
              <w:spacing w:after="0"/>
              <w:rPr>
                <w:sz w:val="20"/>
                <w:szCs w:val="20"/>
                <w:color w:val="auto"/>
              </w:rPr>
            </w:pPr>
            <w:r>
              <w:rPr>
                <w:rFonts w:ascii="Arial" w:cs="Arial" w:eastAsia="Arial" w:hAnsi="Arial"/>
                <w:sz w:val="14"/>
                <w:szCs w:val="14"/>
                <w:color w:val="auto"/>
              </w:rPr>
              <w:t>R&amp;I</w:t>
            </w:r>
          </w:p>
        </w:tc>
        <w:tc>
          <w:tcPr>
            <w:tcW w:w="28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SGA</w:t>
            </w:r>
          </w:p>
        </w:tc>
        <w:tc>
          <w:tcPr>
            <w:tcW w:w="16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COGS</w:t>
            </w:r>
          </w:p>
        </w:tc>
        <w:tc>
          <w:tcPr>
            <w:tcW w:w="2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R&amp;I</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SGA</w:t>
            </w: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CMC adjustments</w:t>
            </w:r>
          </w:p>
        </w:tc>
        <w:tc>
          <w:tcPr>
            <w:tcW w:w="46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North American restructuring</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$ 1.7</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$ 2.0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Uithoorn closure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$ 0.1</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$ 0.6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$10.8</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79"/>
              </w:rPr>
              <w:t>$ 11.1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KCCC impairment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$ 4.7</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w w:val="99"/>
              </w:rPr>
              <w:t>$ 4.7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LIFO</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$ 0.1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$ 1.8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$15.5</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$ 0.3</w:t>
            </w: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RUPS adjustments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Green Spring closure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0"/>
                <w:szCs w:val="20"/>
                <w:color w:val="auto"/>
              </w:rPr>
            </w:pPr>
            <w:r>
              <w:rPr>
                <w:rFonts w:ascii="Arial" w:cs="Arial" w:eastAsia="Arial" w:hAnsi="Arial"/>
                <w:sz w:val="18"/>
                <w:szCs w:val="18"/>
                <w:color w:val="auto"/>
                <w:w w:val="84"/>
              </w:rPr>
              <w:t>$ 2.7</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$ 2.8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gain on sale of utility business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LIFO</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$ 0.5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$ 2.7</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$ 1.0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4"/>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Total adjustments</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(0.8)</w:t>
            </w: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$ 2.7</w:t>
            </w:r>
          </w:p>
        </w:tc>
        <w:tc>
          <w:tcPr>
            <w:tcW w:w="780" w:type="dxa"/>
            <w:vAlign w:val="bottom"/>
            <w:gridSpan w:val="3"/>
          </w:tcPr>
          <w:p>
            <w:pPr>
              <w:ind w:left="280"/>
              <w:spacing w:after="0"/>
              <w:rPr>
                <w:sz w:val="20"/>
                <w:szCs w:val="20"/>
                <w:color w:val="auto"/>
              </w:rPr>
            </w:pPr>
            <w:r>
              <w:rPr>
                <w:rFonts w:ascii="Arial" w:cs="Arial" w:eastAsia="Arial" w:hAnsi="Arial"/>
                <w:sz w:val="18"/>
                <w:szCs w:val="18"/>
                <w:b w:val="1"/>
                <w:bCs w:val="1"/>
                <w:color w:val="auto"/>
              </w:rPr>
              <w:t>$ 1.8</w:t>
            </w:r>
          </w:p>
        </w:tc>
        <w:tc>
          <w:tcPr>
            <w:tcW w:w="720" w:type="dxa"/>
            <w:vAlign w:val="bottom"/>
            <w:gridSpan w:val="3"/>
          </w:tcPr>
          <w:p>
            <w:pPr>
              <w:ind w:left="160"/>
              <w:spacing w:after="0"/>
              <w:rPr>
                <w:sz w:val="20"/>
                <w:szCs w:val="20"/>
                <w:color w:val="auto"/>
              </w:rPr>
            </w:pPr>
            <w:r>
              <w:rPr>
                <w:rFonts w:ascii="Arial" w:cs="Arial" w:eastAsia="Arial" w:hAnsi="Arial"/>
                <w:sz w:val="18"/>
                <w:szCs w:val="18"/>
                <w:b w:val="1"/>
                <w:bCs w:val="1"/>
                <w:color w:val="auto"/>
              </w:rPr>
              <w:t>$ 3.7</w:t>
            </w:r>
          </w:p>
        </w:tc>
        <w:tc>
          <w:tcPr>
            <w:tcW w:w="2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ind w:lef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15.5</w:t>
            </w: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$ 0.3</w:t>
            </w:r>
          </w:p>
        </w:tc>
        <w:tc>
          <w:tcPr>
            <w:tcW w:w="52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Koppers believes that adjusted net income, adjusted earnings per share, and adjusted EBITDA provide information useful to investors in understanding the underlying operational performance of the company, its business and performance trends and facilitates comparisons between periods and with other corporations in similar industries. The exclusion of certain items permits evaluation and a comparison of results for ongoing business operations, and it is on this basis that Koppers management internally assesses the company’s performance.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Koppers believes that these non-GAAP financial measures enhance investors’ understanding of its business and performance, these non-GAAP financial measures should not be considered an alternative to GAAP basis financial measures.</w:t>
      </w:r>
    </w:p>
    <w:p>
      <w:pPr>
        <w:spacing w:after="0" w:line="383" w:lineRule="exact"/>
        <w:rPr>
          <w:sz w:val="20"/>
          <w:szCs w:val="20"/>
          <w:color w:val="auto"/>
        </w:rPr>
      </w:pPr>
    </w:p>
    <w:p>
      <w:pPr>
        <w:jc w:val="center"/>
        <w:ind w:left="260" w:right="920"/>
        <w:spacing w:after="0" w:line="282" w:lineRule="auto"/>
        <w:rPr>
          <w:sz w:val="20"/>
          <w:szCs w:val="20"/>
          <w:color w:val="auto"/>
        </w:rPr>
      </w:pPr>
      <w:r>
        <w:rPr>
          <w:rFonts w:ascii="Arial" w:cs="Arial" w:eastAsia="Arial" w:hAnsi="Arial"/>
          <w:sz w:val="18"/>
          <w:szCs w:val="18"/>
          <w:b w:val="1"/>
          <w:bCs w:val="1"/>
          <w:color w:val="auto"/>
        </w:rPr>
        <w:t xml:space="preserve">UNAUDITED RECONCILIATION OF NET INCOME ATTRIBUTABLE TO KOPPERS AND ADJUSTED NET INCOME </w:t>
      </w:r>
      <w:r>
        <w:rPr>
          <w:rFonts w:ascii="Arial" w:cs="Arial" w:eastAsia="Arial" w:hAnsi="Arial"/>
          <w:sz w:val="18"/>
          <w:szCs w:val="18"/>
          <w:i w:val="1"/>
          <w:iCs w:val="1"/>
          <w:color w:val="auto"/>
        </w:rPr>
        <w:t>(In millions)</w:t>
      </w:r>
    </w:p>
    <w:p>
      <w:pPr>
        <w:spacing w:after="0" w:line="18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2015</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Koppers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80" w:type="dxa"/>
            <w:vAlign w:val="bottom"/>
            <w:gridSpan w:val="2"/>
          </w:tcPr>
          <w:p>
            <w:pPr>
              <w:spacing w:after="0"/>
              <w:rPr>
                <w:sz w:val="20"/>
                <w:szCs w:val="20"/>
                <w:color w:val="auto"/>
              </w:rPr>
            </w:pPr>
            <w:r>
              <w:rPr>
                <w:rFonts w:ascii="Arial" w:cs="Arial" w:eastAsia="Arial" w:hAnsi="Arial"/>
                <w:sz w:val="18"/>
                <w:szCs w:val="18"/>
                <w:color w:val="auto"/>
              </w:rPr>
              <w:t xml:space="preserve">Items impacting pre-tax income </w:t>
            </w:r>
            <w:r>
              <w:rPr>
                <w:rFonts w:ascii="Arial" w:cs="Arial" w:eastAsia="Arial" w:hAnsi="Arial"/>
                <w:sz w:val="15"/>
                <w:szCs w:val="15"/>
                <w:color w:val="auto"/>
              </w:rPr>
              <w:t>(1)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restructuring and plant closure costs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Net gain on sale of North American utility pole business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LIFO</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Items impacting net income, net of tax and non-controlling interests</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rPr>
              <w:t>8</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to pre-tax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Q1 2015</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Q1 2014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340"/>
              <w:spacing w:after="0"/>
              <w:rPr>
                <w:sz w:val="20"/>
                <w:szCs w:val="20"/>
                <w:color w:val="auto"/>
              </w:rPr>
            </w:pPr>
            <w:r>
              <w:rPr>
                <w:rFonts w:ascii="Arial" w:cs="Arial" w:eastAsia="Arial" w:hAnsi="Arial"/>
                <w:sz w:val="14"/>
                <w:szCs w:val="14"/>
                <w:color w:val="auto"/>
                <w:w w:val="96"/>
              </w:rPr>
              <w:t>COGS</w:t>
            </w:r>
          </w:p>
        </w:tc>
        <w:tc>
          <w:tcPr>
            <w:tcW w:w="360" w:type="dxa"/>
            <w:vAlign w:val="bottom"/>
          </w:tcPr>
          <w:p>
            <w:pPr>
              <w:jc w:val="center"/>
              <w:spacing w:after="0"/>
              <w:rPr>
                <w:sz w:val="20"/>
                <w:szCs w:val="20"/>
                <w:color w:val="auto"/>
              </w:rPr>
            </w:pPr>
            <w:r>
              <w:rPr>
                <w:rFonts w:ascii="Arial" w:cs="Arial" w:eastAsia="Arial" w:hAnsi="Arial"/>
                <w:sz w:val="14"/>
                <w:szCs w:val="14"/>
                <w:color w:val="auto"/>
              </w:rPr>
              <w:t>R&amp;I</w:t>
            </w:r>
          </w:p>
        </w:tc>
        <w:tc>
          <w:tcPr>
            <w:tcW w:w="28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D&amp;A</w:t>
            </w:r>
          </w:p>
        </w:tc>
        <w:tc>
          <w:tcPr>
            <w:tcW w:w="12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color w:val="auto"/>
              </w:rPr>
              <w:t>SGA</w:t>
            </w:r>
          </w:p>
        </w:tc>
        <w:tc>
          <w:tcPr>
            <w:tcW w:w="10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760" w:type="dxa"/>
            <w:vAlign w:val="bottom"/>
            <w:gridSpan w:val="4"/>
          </w:tcPr>
          <w:p>
            <w:pPr>
              <w:ind w:left="40"/>
              <w:spacing w:after="0"/>
              <w:rPr>
                <w:sz w:val="20"/>
                <w:szCs w:val="20"/>
                <w:color w:val="auto"/>
              </w:rPr>
            </w:pPr>
            <w:r>
              <w:rPr>
                <w:rFonts w:ascii="Arial" w:cs="Arial" w:eastAsia="Arial" w:hAnsi="Arial"/>
                <w:sz w:val="14"/>
                <w:szCs w:val="14"/>
                <w:color w:val="auto"/>
              </w:rPr>
              <w:t>COGS</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D&amp;A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color w:val="auto"/>
              </w:rPr>
              <w:t>R&amp;I</w:t>
            </w: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SGA</w:t>
            </w: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CMC adjustments</w:t>
            </w:r>
          </w:p>
        </w:tc>
        <w:tc>
          <w:tcPr>
            <w:tcW w:w="27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North American restructuring</w:t>
            </w: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 —</w:t>
            </w: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$ 1.7</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$ 2.0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Uithoorn closure</w:t>
            </w:r>
          </w:p>
        </w:tc>
        <w:tc>
          <w:tcPr>
            <w:tcW w:w="8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$ 0.1</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$ 0.5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$ 0.9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$ 0.3</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KCCC impairment</w:t>
            </w: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 —</w:t>
            </w: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r>
              <w:rPr>
                <w:rFonts w:ascii="Arial" w:cs="Arial" w:eastAsia="Arial" w:hAnsi="Arial"/>
                <w:sz w:val="18"/>
                <w:szCs w:val="18"/>
                <w:color w:val="auto"/>
                <w:w w:val="89"/>
              </w:rPr>
              <w:t>$ 0.5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$ 4.7</w:t>
            </w:r>
          </w:p>
        </w:tc>
        <w:tc>
          <w:tcPr>
            <w:tcW w:w="2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w w:val="99"/>
              </w:rPr>
              <w:t>$ 5.2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LIFO</w:t>
            </w:r>
          </w:p>
        </w:tc>
        <w:tc>
          <w:tcPr>
            <w:tcW w:w="8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$ 0.1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6"/>
              </w:rPr>
              <w:t>$(0.1)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$ 1.8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$ 2.6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$ 1.4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$15.5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$ 0.3</w:t>
            </w: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RUPS adjustments</w:t>
            </w: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Green Spring closure</w:t>
            </w: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0"/>
                <w:szCs w:val="20"/>
                <w:color w:val="auto"/>
              </w:rPr>
            </w:pPr>
            <w:r>
              <w:rPr>
                <w:rFonts w:ascii="Arial" w:cs="Arial" w:eastAsia="Arial" w:hAnsi="Arial"/>
                <w:sz w:val="18"/>
                <w:szCs w:val="18"/>
                <w:color w:val="auto"/>
                <w:w w:val="84"/>
              </w:rPr>
              <w:t>$ 2.7</w:t>
            </w:r>
          </w:p>
        </w:tc>
        <w:tc>
          <w:tcPr>
            <w:tcW w:w="820" w:type="dxa"/>
            <w:vAlign w:val="bottom"/>
            <w:gridSpan w:val="3"/>
          </w:tcPr>
          <w:p>
            <w:pPr>
              <w:ind w:left="280"/>
              <w:spacing w:after="0"/>
              <w:rPr>
                <w:sz w:val="20"/>
                <w:szCs w:val="20"/>
                <w:color w:val="auto"/>
              </w:rPr>
            </w:pPr>
            <w:r>
              <w:rPr>
                <w:rFonts w:ascii="Arial" w:cs="Arial" w:eastAsia="Arial" w:hAnsi="Arial"/>
                <w:sz w:val="18"/>
                <w:szCs w:val="18"/>
                <w:color w:val="auto"/>
              </w:rPr>
              <w:t>$ 0.8</w:t>
            </w: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$ 3.6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4"/>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gain on sale of utility business</w:t>
            </w:r>
          </w:p>
        </w:tc>
        <w:tc>
          <w:tcPr>
            <w:tcW w:w="8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LIFO</w:t>
            </w:r>
          </w:p>
        </w:tc>
        <w:tc>
          <w:tcPr>
            <w:tcW w:w="8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 —</w:t>
            </w: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$ 0.5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4"/>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$ 2.7</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$ 0.8</w:t>
            </w: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$ 1.8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4"/>
        </w:trPr>
        <w:tc>
          <w:tcPr>
            <w:tcW w:w="4040" w:type="dxa"/>
            <w:vAlign w:val="bottom"/>
            <w:gridSpan w:val="5"/>
          </w:tcPr>
          <w:p>
            <w:pPr>
              <w:spacing w:after="0"/>
              <w:rPr>
                <w:sz w:val="20"/>
                <w:szCs w:val="20"/>
                <w:color w:val="auto"/>
              </w:rPr>
            </w:pPr>
            <w:r>
              <w:rPr>
                <w:rFonts w:ascii="Arial" w:cs="Arial" w:eastAsia="Arial" w:hAnsi="Arial"/>
                <w:sz w:val="18"/>
                <w:szCs w:val="18"/>
                <w:b w:val="1"/>
                <w:bCs w:val="1"/>
                <w:color w:val="auto"/>
              </w:rPr>
              <w:t>Total adjustments</w:t>
            </w:r>
          </w:p>
        </w:tc>
        <w:tc>
          <w:tcPr>
            <w:tcW w:w="860" w:type="dxa"/>
            <w:vAlign w:val="bottom"/>
            <w:gridSpan w:val="3"/>
          </w:tcPr>
          <w:p>
            <w:pPr>
              <w:ind w:left="7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(0.8)</w:t>
            </w: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$ 2.7</w:t>
            </w:r>
          </w:p>
        </w:tc>
        <w:tc>
          <w:tcPr>
            <w:tcW w:w="820" w:type="dxa"/>
            <w:vAlign w:val="bottom"/>
            <w:gridSpan w:val="3"/>
          </w:tcPr>
          <w:p>
            <w:pPr>
              <w:ind w:left="280"/>
              <w:spacing w:after="0"/>
              <w:rPr>
                <w:sz w:val="20"/>
                <w:szCs w:val="20"/>
                <w:color w:val="auto"/>
              </w:rPr>
            </w:pPr>
            <w:r>
              <w:rPr>
                <w:rFonts w:ascii="Arial" w:cs="Arial" w:eastAsia="Arial" w:hAnsi="Arial"/>
                <w:sz w:val="18"/>
                <w:szCs w:val="18"/>
                <w:b w:val="1"/>
                <w:bCs w:val="1"/>
                <w:color w:val="auto"/>
              </w:rPr>
              <w:t>$ 0.7</w:t>
            </w:r>
          </w:p>
        </w:tc>
        <w:tc>
          <w:tcPr>
            <w:tcW w:w="640" w:type="dxa"/>
            <w:vAlign w:val="bottom"/>
            <w:gridSpan w:val="3"/>
          </w:tcPr>
          <w:p>
            <w:pPr>
              <w:ind w:left="120"/>
              <w:spacing w:after="0"/>
              <w:rPr>
                <w:sz w:val="20"/>
                <w:szCs w:val="20"/>
                <w:color w:val="auto"/>
              </w:rPr>
            </w:pPr>
            <w:r>
              <w:rPr>
                <w:rFonts w:ascii="Arial" w:cs="Arial" w:eastAsia="Arial" w:hAnsi="Arial"/>
                <w:sz w:val="18"/>
                <w:szCs w:val="18"/>
                <w:b w:val="1"/>
                <w:bCs w:val="1"/>
                <w:color w:val="auto"/>
              </w:rPr>
              <w:t>$ 1.8</w:t>
            </w:r>
          </w:p>
        </w:tc>
        <w:tc>
          <w:tcPr>
            <w:tcW w:w="800" w:type="dxa"/>
            <w:vAlign w:val="bottom"/>
            <w:gridSpan w:val="3"/>
          </w:tcPr>
          <w:p>
            <w:pPr>
              <w:ind w:left="100"/>
              <w:spacing w:after="0"/>
              <w:rPr>
                <w:sz w:val="20"/>
                <w:szCs w:val="20"/>
                <w:color w:val="auto"/>
              </w:rPr>
            </w:pPr>
            <w:r>
              <w:rPr>
                <w:rFonts w:ascii="Arial" w:cs="Arial" w:eastAsia="Arial" w:hAnsi="Arial"/>
                <w:sz w:val="18"/>
                <w:szCs w:val="18"/>
                <w:b w:val="1"/>
                <w:bCs w:val="1"/>
                <w:color w:val="auto"/>
              </w:rPr>
              <w:t>$ 4.4</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b w:val="1"/>
                <w:bCs w:val="1"/>
                <w:color w:val="auto"/>
                <w:w w:val="89"/>
              </w:rPr>
              <w:t>$ 1.4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15.5</w:t>
            </w:r>
          </w:p>
        </w:tc>
        <w:tc>
          <w:tcPr>
            <w:tcW w:w="2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$ 0.3</w:t>
            </w:r>
          </w:p>
        </w:tc>
        <w:tc>
          <w:tcPr>
            <w:tcW w:w="52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gridSpan w:val="23"/>
          </w:tcPr>
          <w:p>
            <w:pPr>
              <w:jc w:val="center"/>
              <w:ind w:left="590"/>
              <w:spacing w:after="0"/>
              <w:rPr>
                <w:sz w:val="20"/>
                <w:szCs w:val="20"/>
                <w:color w:val="auto"/>
              </w:rPr>
            </w:pPr>
            <w:r>
              <w:rPr>
                <w:rFonts w:ascii="Arial" w:cs="Arial" w:eastAsia="Arial" w:hAnsi="Arial"/>
                <w:sz w:val="18"/>
                <w:szCs w:val="18"/>
                <w:b w:val="1"/>
                <w:bCs w:val="1"/>
                <w:color w:val="auto"/>
              </w:rPr>
              <w:t>UNAUDITED RECONCILIATION OF DILUTED EARNINGS PER SHARE AND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30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8"/>
              </w:rPr>
              <w:t>ADJUSTED EARNINGS PER SHARE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00" w:type="dxa"/>
            <w:vAlign w:val="bottom"/>
            <w:gridSpan w:val="13"/>
          </w:tcPr>
          <w:p>
            <w:pPr>
              <w:jc w:val="center"/>
              <w:spacing w:after="0"/>
              <w:rPr>
                <w:sz w:val="20"/>
                <w:szCs w:val="20"/>
                <w:color w:val="auto"/>
              </w:rPr>
            </w:pPr>
            <w:r>
              <w:rPr>
                <w:rFonts w:ascii="Arial" w:cs="Arial" w:eastAsia="Arial" w:hAnsi="Arial"/>
                <w:sz w:val="18"/>
                <w:szCs w:val="18"/>
                <w:i w:val="1"/>
                <w:iCs w:val="1"/>
                <w:color w:val="auto"/>
                <w:w w:val="91"/>
              </w:rPr>
              <w:t>(In millions except share amounts)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10"/>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income attributable to Koppers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Adjusted net income (from above)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Denominator for diluted earnings per share (000s)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20,512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20,588</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(Loss) earnings per share:</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earnings per share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NET INCOME TO EBITDA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29"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Three Months Ended</w:t>
      </w:r>
    </w:p>
    <w:p>
      <w:pPr>
        <w:jc w:val="center"/>
        <w:ind w:left="69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EBITDA with noncontrolling interests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324"/>
        </w:trPr>
        <w:tc>
          <w:tcPr>
            <w:tcW w:w="7060" w:type="dxa"/>
            <w:vAlign w:val="bottom"/>
            <w:gridSpan w:val="2"/>
          </w:tcPr>
          <w:p>
            <w:pPr>
              <w:spacing w:after="0"/>
              <w:rPr>
                <w:sz w:val="20"/>
                <w:szCs w:val="20"/>
                <w:color w:val="auto"/>
              </w:rPr>
            </w:pPr>
            <w:r>
              <w:rPr>
                <w:rFonts w:ascii="Arial" w:cs="Arial" w:eastAsia="Arial" w:hAnsi="Arial"/>
                <w:sz w:val="18"/>
                <w:szCs w:val="18"/>
                <w:color w:val="auto"/>
              </w:rPr>
              <w:t xml:space="preserve">Items impacting net income </w:t>
            </w: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restructuring and plant closure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Net gain on sale of North American utility pole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LIFO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Adjusted EBITDA with noncontrolling interests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Refer to adjustments under Unaudited Segment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2019-12-08T12:55:17Z</dcterms:created>
  <dcterms:modified xsi:type="dcterms:W3CDTF">2019-12-08T12:55:17Z</dcterms:modified>
</cp:coreProperties>
</file>