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4242.xml.htm"/>
      <w:bookmarkStart w:id="1" w:name="kswkform4_17815542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BALL M LEROY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818"/>
        <w:gridCol w:w="432"/>
        <w:gridCol w:w="788"/>
        <w:gridCol w:w="1524"/>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41.34</w:t>
            </w:r>
            <w:r>
              <w:rPr>
                <w:rFonts w:ascii="Times;serif" w:hAnsi="Times;serif"/>
                <w:color w:val="008000"/>
                <w:position w:val="7"/>
                <w:sz w:val="16"/>
                <w:sz w:val="20"/>
                <w:shd w:fill="FFFFFF" w:val="clear"/>
              </w:rPr>
              <w:t>(1)</w:t>
            </w:r>
            <w:r>
              <w:rPr/>
              <w:t xml:space="preserve"> </w:t>
            </w:r>
          </w:p>
        </w:tc>
        <w:tc>
          <w:tcPr>
            <w:tcW w:w="15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439,955.4007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5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439,655.4007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$40.88 to $41.53, inclusive. The reporting person undertakes to provide to the Securities and Exchange Commission, the issuer or any security holder of the issuer,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771"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3419</Characters>
  <CharactersWithSpaces>3983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